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BE0DE21" w:rsidR="0003090D" w:rsidRPr="00B979F0" w:rsidRDefault="009A6371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 </w:t>
      </w:r>
      <w:r w:rsidR="0003090D" w:rsidRPr="00B979F0">
        <w:rPr>
          <w:rFonts w:ascii="Arial" w:eastAsia="Times New Roman" w:hAnsi="Arial" w:cs="Arial"/>
          <w:b/>
          <w:bCs/>
        </w:rPr>
        <w:t>BACCALAUREATE SOCIAL WORK PROGRAM</w:t>
      </w:r>
      <w:r w:rsidR="0003090D"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7D9F6FC7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6B64CC">
              <w:rPr>
                <w:rFonts w:ascii="Arial" w:eastAsia="Times New Roman" w:hAnsi="Arial" w:cs="Arial"/>
                <w:b/>
              </w:rPr>
              <w:t xml:space="preserve">Field Learning Contract               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54967756" w14:textId="067DCE4B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Skill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5962399B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end of the semester upon completion of their field course and field hours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5ABE3F01" w14:textId="7B22F981" w:rsidR="00E07C20" w:rsidRDefault="006B64CC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 in cooperation with Field Coordinator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0868BDBA" w:rsidR="00E275E4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on a 5-point Likert type scale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562BC9AE" w:rsidR="00F97C6E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18E97450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6B64CC">
              <w:rPr>
                <w:rFonts w:ascii="Arial" w:eastAsia="Times New Roman" w:hAnsi="Arial" w:cs="Arial"/>
                <w:b/>
              </w:rPr>
              <w:t>SWEAP Tool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7CD3851" w14:textId="6967CD89" w:rsidR="00A848FE" w:rsidRDefault="006C687D" w:rsidP="006C687D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Knowledge, Values, and/or Cognitive and </w:t>
            </w:r>
            <w:r>
              <w:rPr>
                <w:rFonts w:ascii="Arial" w:eastAsia="Times New Roman" w:hAnsi="Arial" w:cs="Arial"/>
              </w:rPr>
              <w:lastRenderedPageBreak/>
              <w:t>Affectual Processes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1615" w:type="dxa"/>
          </w:tcPr>
          <w:p w14:paraId="5692CECD" w14:textId="349356BE" w:rsidR="00A848FE" w:rsidRDefault="006B64CC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end of the year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2DB92ADC" w:rsidR="00A848FE" w:rsidRDefault="006C687D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Course instructors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47C85677" w:rsidR="00E275E4" w:rsidRDefault="006B64CC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on a 5-point Likert type scale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55DE8DE7" w:rsidR="00440CA3" w:rsidRDefault="006B64CC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AE3C59C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6C687D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9A3D2D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562E4A" w:rsidRPr="006C687D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6C687D" w:rsidRPr="006C687D">
        <w:rPr>
          <w:rFonts w:ascii="Arial" w:eastAsia="Times New Roman" w:hAnsi="Arial" w:cs="Arial"/>
          <w:b/>
          <w:bCs/>
          <w:color w:val="000000" w:themeColor="text1"/>
        </w:rPr>
        <w:t>2</w:t>
      </w:r>
      <w:r w:rsidR="009A3D2D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562E4A" w:rsidRPr="006C687D">
        <w:rPr>
          <w:rFonts w:ascii="Arial" w:eastAsia="Times New Roman" w:hAnsi="Arial" w:cs="Arial"/>
          <w:b/>
          <w:bCs/>
          <w:color w:val="000000" w:themeColor="text1"/>
        </w:rPr>
        <w:t>)</w:t>
      </w:r>
      <w:r w:rsidRPr="006C687D">
        <w:rPr>
          <w:rFonts w:ascii="Arial" w:eastAsia="Times New Roman" w:hAnsi="Arial" w:cs="Arial"/>
          <w:color w:val="000000" w:themeColor="text1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5DC63518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</w:t>
            </w:r>
            <w:r w:rsidR="00A6710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 w:rsidR="00631E33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6648F2C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</w:t>
            </w:r>
            <w:r w:rsidR="00A6710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 w:rsidR="00631E33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99B42" w14:textId="542E777A" w:rsidR="00FE5039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7736E104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71FA5199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</w:p>
          <w:p w14:paraId="4825BC4E" w14:textId="6B3F74B9" w:rsidR="00206032" w:rsidRPr="006C687D" w:rsidRDefault="006C687D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7E40A7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7B141DA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EFDAD4B" w14:textId="77777777" w:rsidR="008560A9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6739A5" w14:textId="7D21D320" w:rsidR="00206032" w:rsidRPr="00B979F0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C687D">
              <w:rPr>
                <w:rFonts w:ascii="Arial" w:eastAsia="Times New Roman" w:hAnsi="Arial" w:cs="Arial"/>
              </w:rPr>
              <w:t>8</w:t>
            </w:r>
            <w:r w:rsidR="003E5456">
              <w:rPr>
                <w:rFonts w:ascii="Arial" w:eastAsia="Times New Roman" w:hAnsi="Arial" w:cs="Arial"/>
              </w:rPr>
              <w:t>5</w:t>
            </w:r>
            <w:r w:rsidRP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CF6630" w14:textId="77777777" w:rsidR="00206032" w:rsidRDefault="00206032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23E789A6" w14:textId="7303BAAE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  (</w:t>
            </w:r>
            <w:r w:rsidR="00631E33">
              <w:rPr>
                <w:rFonts w:ascii="ArialMT" w:hAnsi="ArialMT"/>
              </w:rPr>
              <w:t>74</w:t>
            </w:r>
            <w:r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96.67</w:t>
            </w:r>
            <w:r>
              <w:rPr>
                <w:rFonts w:ascii="ArialMT" w:hAnsi="ArialMT"/>
              </w:rPr>
              <w:t xml:space="preserve">%)/2= </w:t>
            </w:r>
          </w:p>
          <w:p w14:paraId="421AB110" w14:textId="6154BAB7" w:rsidR="006C687D" w:rsidRPr="00B979F0" w:rsidRDefault="008560A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6C687D" w:rsidRPr="006C687D">
              <w:rPr>
                <w:rFonts w:ascii="Arial" w:eastAsia="Times New Roman" w:hAnsi="Arial" w:cs="Arial"/>
              </w:rPr>
              <w:t>8</w:t>
            </w:r>
            <w:r w:rsidR="003E5456">
              <w:rPr>
                <w:rFonts w:ascii="Arial" w:eastAsia="Times New Roman" w:hAnsi="Arial" w:cs="Arial"/>
              </w:rPr>
              <w:t>5</w:t>
            </w:r>
            <w:r w:rsidR="006C687D" w:rsidRP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62CDD73" w:rsidR="00FE5039" w:rsidRPr="00B979F0" w:rsidRDefault="008560A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  <w:highlight w:val="lightGray"/>
              </w:rPr>
              <w:t xml:space="preserve">    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731D8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206032">
              <w:rPr>
                <w:rFonts w:ascii="Arial" w:eastAsia="Times New Roman" w:hAnsi="Arial" w:cs="Arial"/>
              </w:rPr>
              <w:t xml:space="preserve">   </w:t>
            </w:r>
          </w:p>
          <w:p w14:paraId="2E35129E" w14:textId="017CB679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A5E1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4517F4FD" w14:textId="5C52D4AA" w:rsidR="00206032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</w:t>
            </w:r>
            <w:r w:rsidR="003E5456">
              <w:rPr>
                <w:rFonts w:ascii="Arial" w:eastAsia="Times New Roman" w:hAnsi="Arial" w:cs="Arial"/>
              </w:rPr>
              <w:t>98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51308" w14:textId="673C9486" w:rsidR="008560A9" w:rsidRDefault="00FE5039" w:rsidP="008560A9">
            <w:pPr>
              <w:pStyle w:val="NormalWeb"/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560A9">
              <w:rPr>
                <w:rFonts w:ascii="Arial" w:eastAsia="Times New Roman" w:hAnsi="Arial" w:cs="Arial"/>
              </w:rPr>
              <w:t xml:space="preserve">      </w:t>
            </w:r>
            <w:r w:rsidR="008560A9">
              <w:rPr>
                <w:rFonts w:ascii="ArialMT" w:hAnsi="ArialMT"/>
              </w:rPr>
              <w:t>(</w:t>
            </w:r>
            <w:r w:rsidR="00631E33">
              <w:rPr>
                <w:rFonts w:ascii="ArialMT" w:hAnsi="ArialMT"/>
              </w:rPr>
              <w:t>100</w:t>
            </w:r>
            <w:r w:rsidR="008560A9"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96</w:t>
            </w:r>
            <w:r w:rsidR="008560A9">
              <w:rPr>
                <w:rFonts w:ascii="ArialMT" w:hAnsi="ArialMT"/>
              </w:rPr>
              <w:t xml:space="preserve">%)/2= </w:t>
            </w:r>
          </w:p>
          <w:p w14:paraId="431E7397" w14:textId="5ABDFAC0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560A9">
              <w:rPr>
                <w:rFonts w:ascii="Arial" w:eastAsia="Times New Roman" w:hAnsi="Arial" w:cs="Arial"/>
              </w:rPr>
              <w:t xml:space="preserve">              </w:t>
            </w:r>
            <w:r w:rsidR="003E5456">
              <w:rPr>
                <w:rFonts w:ascii="Arial" w:eastAsia="Times New Roman" w:hAnsi="Arial" w:cs="Arial"/>
              </w:rPr>
              <w:t>98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8BDEB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A16BED6" w14:textId="79147270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8A5AF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5A3D842" w14:textId="21D66270" w:rsidR="00206032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</w:t>
            </w:r>
            <w:r w:rsidR="003E5456">
              <w:rPr>
                <w:rFonts w:ascii="Arial" w:eastAsia="Times New Roman" w:hAnsi="Arial" w:cs="Arial"/>
              </w:rPr>
              <w:t>90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CD1D4" w14:textId="77777777" w:rsidR="008560A9" w:rsidRDefault="008560A9" w:rsidP="008560A9">
            <w:pPr>
              <w:pStyle w:val="NormalWeb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  </w:t>
            </w:r>
          </w:p>
          <w:p w14:paraId="6661CFC8" w14:textId="7C0C5692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(9</w:t>
            </w:r>
            <w:r w:rsidR="00631E33">
              <w:rPr>
                <w:rFonts w:ascii="ArialMT" w:hAnsi="ArialMT"/>
              </w:rPr>
              <w:t>3.33</w:t>
            </w:r>
            <w:r>
              <w:rPr>
                <w:rFonts w:ascii="ArialMT" w:hAnsi="ArialMT"/>
              </w:rPr>
              <w:t>%+8</w:t>
            </w:r>
            <w:r w:rsidR="00631E33">
              <w:rPr>
                <w:rFonts w:ascii="ArialMT" w:hAnsi="ArialMT"/>
              </w:rPr>
              <w:t>7</w:t>
            </w:r>
            <w:r>
              <w:rPr>
                <w:rFonts w:ascii="ArialMT" w:hAnsi="ArialMT"/>
              </w:rPr>
              <w:t xml:space="preserve">%)/2= </w:t>
            </w:r>
          </w:p>
          <w:p w14:paraId="19AC1E84" w14:textId="3C2AEAC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   </w:t>
            </w:r>
            <w:r w:rsidR="003E5456">
              <w:rPr>
                <w:rFonts w:ascii="Arial" w:eastAsia="Times New Roman" w:hAnsi="Arial" w:cs="Arial"/>
              </w:rPr>
              <w:t>90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4D23D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D6074C0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40BA1E6D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56983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32073C9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862B234" w14:textId="6B875A20" w:rsidR="00206032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8560A9">
              <w:rPr>
                <w:rFonts w:ascii="Arial" w:eastAsia="Times New Roman" w:hAnsi="Arial" w:cs="Arial"/>
              </w:rPr>
              <w:t xml:space="preserve">               </w:t>
            </w:r>
            <w:r w:rsidR="003E5456">
              <w:rPr>
                <w:rFonts w:ascii="Arial" w:eastAsia="Times New Roman" w:hAnsi="Arial" w:cs="Arial"/>
              </w:rPr>
              <w:t>76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609FD" w14:textId="77777777" w:rsidR="008560A9" w:rsidRDefault="008560A9" w:rsidP="008560A9">
            <w:pPr>
              <w:pStyle w:val="NormalWeb"/>
              <w:rPr>
                <w:rFonts w:ascii="ArialMT" w:hAnsi="ArialMT"/>
              </w:rPr>
            </w:pPr>
          </w:p>
          <w:p w14:paraId="3E129F27" w14:textId="5DBCC71A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</w:t>
            </w:r>
            <w:r w:rsidR="00631E33">
              <w:rPr>
                <w:rFonts w:ascii="ArialMT" w:hAnsi="ArialMT"/>
              </w:rPr>
              <w:t>100</w:t>
            </w:r>
            <w:r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52</w:t>
            </w:r>
            <w:r>
              <w:rPr>
                <w:rFonts w:ascii="ArialMT" w:hAnsi="ArialMT"/>
              </w:rPr>
              <w:t xml:space="preserve">%)/2= </w:t>
            </w:r>
          </w:p>
          <w:p w14:paraId="5D5B4F8D" w14:textId="046442E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  </w:t>
            </w:r>
            <w:r w:rsidR="003E5456">
              <w:rPr>
                <w:rFonts w:ascii="Arial" w:eastAsia="Times New Roman" w:hAnsi="Arial" w:cs="Arial"/>
              </w:rPr>
              <w:t>76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E80FC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</w:t>
            </w:r>
          </w:p>
          <w:p w14:paraId="2EC0EA35" w14:textId="4CB7730E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A2C42" w14:textId="77777777" w:rsidR="009D48A4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9E5C5E7" w14:textId="117DADCE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6</w:t>
            </w:r>
            <w:r w:rsidR="003E5456">
              <w:rPr>
                <w:rFonts w:ascii="Arial" w:eastAsia="Times New Roman" w:hAnsi="Arial" w:cs="Arial"/>
              </w:rPr>
              <w:t>8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BA62A" w14:textId="43225294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(93</w:t>
            </w:r>
            <w:r w:rsidR="00631E33">
              <w:rPr>
                <w:rFonts w:ascii="ArialMT" w:hAnsi="ArialMT"/>
              </w:rPr>
              <w:t>.33</w:t>
            </w:r>
            <w:r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43</w:t>
            </w:r>
            <w:r>
              <w:rPr>
                <w:rFonts w:ascii="ArialMT" w:hAnsi="ArialMT"/>
              </w:rPr>
              <w:t xml:space="preserve">%)/2= </w:t>
            </w:r>
          </w:p>
          <w:p w14:paraId="3EE5EFCE" w14:textId="585D0A6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          6</w:t>
            </w:r>
            <w:r w:rsidR="003E5456">
              <w:rPr>
                <w:rFonts w:ascii="Arial" w:eastAsia="Times New Roman" w:hAnsi="Arial" w:cs="Arial"/>
              </w:rPr>
              <w:t>8</w:t>
            </w:r>
            <w:r w:rsidR="006C687D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C1076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8A859C4" w14:textId="77777777" w:rsidR="009D48A4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</w:t>
            </w:r>
          </w:p>
          <w:p w14:paraId="3079F9A6" w14:textId="28DE4359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6C687D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4E89F" w14:textId="77777777" w:rsidR="009D48A4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6049F1FF" w14:textId="77777777" w:rsidR="009D48A4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526B2421" w14:textId="7060EEF2" w:rsidR="00FE5039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3E5456">
              <w:rPr>
                <w:rFonts w:ascii="Arial" w:eastAsia="Times New Roman" w:hAnsi="Arial" w:cs="Arial"/>
              </w:rPr>
              <w:t>72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1BC61" w14:textId="77777777" w:rsidR="008560A9" w:rsidRDefault="00FE503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E54C45F" w14:textId="1E82E2CA" w:rsidR="008560A9" w:rsidRPr="008560A9" w:rsidRDefault="008560A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MT" w:hAnsi="ArialMT"/>
              </w:rPr>
              <w:t xml:space="preserve">      (</w:t>
            </w:r>
            <w:r w:rsidR="00631E33">
              <w:rPr>
                <w:rFonts w:ascii="ArialMT" w:hAnsi="ArialMT"/>
              </w:rPr>
              <w:t>100</w:t>
            </w:r>
            <w:r>
              <w:rPr>
                <w:rFonts w:ascii="ArialMT" w:hAnsi="ArialMT"/>
              </w:rPr>
              <w:t>%+4</w:t>
            </w:r>
            <w:r w:rsidR="00631E33">
              <w:rPr>
                <w:rFonts w:ascii="ArialMT" w:hAnsi="ArialMT"/>
              </w:rPr>
              <w:t>3</w:t>
            </w:r>
            <w:r>
              <w:rPr>
                <w:rFonts w:ascii="ArialMT" w:hAnsi="ArialMT"/>
              </w:rPr>
              <w:t xml:space="preserve">%)/2= </w:t>
            </w:r>
          </w:p>
          <w:p w14:paraId="1D1A5CAC" w14:textId="77777777" w:rsidR="006C687D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5CDD8F72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3E5456">
              <w:rPr>
                <w:rFonts w:ascii="Arial" w:eastAsia="Times New Roman" w:hAnsi="Arial" w:cs="Arial"/>
              </w:rPr>
              <w:t>72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88207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1605623" w14:textId="77777777" w:rsidR="009D48A4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</w:p>
          <w:p w14:paraId="2308D97C" w14:textId="14C0F196" w:rsidR="00206032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6C687D">
              <w:rPr>
                <w:rFonts w:ascii="Arial" w:eastAsia="Times New Roman" w:hAnsi="Arial" w:cs="Arial"/>
              </w:rPr>
              <w:t xml:space="preserve">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84CF4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0536AC8C" w14:textId="77777777" w:rsidR="009D48A4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258C343A" w14:textId="25A4337A" w:rsidR="009D48A4" w:rsidRPr="00B979F0" w:rsidRDefault="009D48A4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8</w:t>
            </w:r>
            <w:r w:rsidR="003E5456">
              <w:rPr>
                <w:rFonts w:ascii="Arial" w:eastAsia="Times New Roman" w:hAnsi="Arial" w:cs="Arial"/>
              </w:rPr>
              <w:t>9</w:t>
            </w:r>
            <w:r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D88E" w14:textId="77777777" w:rsidR="009D48A4" w:rsidRDefault="00FE5039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  </w:t>
            </w:r>
          </w:p>
          <w:p w14:paraId="689E817D" w14:textId="3DD26400" w:rsidR="008560A9" w:rsidRPr="008560A9" w:rsidRDefault="009D48A4" w:rsidP="008560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8560A9">
              <w:rPr>
                <w:rFonts w:ascii="ArialMT" w:hAnsi="ArialMT"/>
              </w:rPr>
              <w:t>(</w:t>
            </w:r>
            <w:r w:rsidR="00631E33">
              <w:rPr>
                <w:rFonts w:ascii="ArialMT" w:hAnsi="ArialMT"/>
              </w:rPr>
              <w:t>10</w:t>
            </w:r>
            <w:r w:rsidR="008560A9">
              <w:rPr>
                <w:rFonts w:ascii="ArialMT" w:hAnsi="ArialMT"/>
              </w:rPr>
              <w:t>0%+</w:t>
            </w:r>
            <w:r w:rsidR="00631E33">
              <w:rPr>
                <w:rFonts w:ascii="ArialMT" w:hAnsi="ArialMT"/>
              </w:rPr>
              <w:t>78</w:t>
            </w:r>
            <w:r w:rsidR="008560A9">
              <w:rPr>
                <w:rFonts w:ascii="ArialMT" w:hAnsi="ArialMT"/>
              </w:rPr>
              <w:t xml:space="preserve">%)/2= </w:t>
            </w:r>
          </w:p>
          <w:p w14:paraId="7435FF1D" w14:textId="77777777" w:rsidR="006C687D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16FB06A1" w:rsidR="00FE5039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206032">
              <w:rPr>
                <w:rFonts w:ascii="Arial" w:eastAsia="Times New Roman" w:hAnsi="Arial" w:cs="Arial"/>
              </w:rPr>
              <w:t>8</w:t>
            </w:r>
            <w:r w:rsidR="003E5456">
              <w:rPr>
                <w:rFonts w:ascii="Arial" w:eastAsia="Times New Roman" w:hAnsi="Arial" w:cs="Arial"/>
              </w:rPr>
              <w:t>9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8802CB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774B2D68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F64EF4D" w14:textId="2579E6E2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</w:t>
            </w:r>
            <w:r w:rsidR="00206032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6DF5D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50F8EAE6" w14:textId="77777777" w:rsidR="00206032" w:rsidRDefault="00206032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E3D39D0" w14:textId="69C8A6E7" w:rsidR="00206032" w:rsidRPr="00B979F0" w:rsidRDefault="003E545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84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FF81B7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3399F267" w14:textId="0429FA85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(9</w:t>
            </w:r>
            <w:r w:rsidR="00631E33">
              <w:rPr>
                <w:rFonts w:ascii="ArialMT" w:hAnsi="ArialMT"/>
              </w:rPr>
              <w:t>0</w:t>
            </w:r>
            <w:r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78</w:t>
            </w:r>
            <w:r>
              <w:rPr>
                <w:rFonts w:ascii="ArialMT" w:hAnsi="ArialMT"/>
              </w:rPr>
              <w:t xml:space="preserve">%)/2= </w:t>
            </w:r>
          </w:p>
          <w:p w14:paraId="2DDF9610" w14:textId="488F6536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</w:t>
            </w:r>
            <w:r w:rsidR="008560A9">
              <w:rPr>
                <w:rFonts w:ascii="Arial" w:eastAsia="Times New Roman" w:hAnsi="Arial" w:cs="Arial"/>
              </w:rPr>
              <w:t xml:space="preserve">      </w:t>
            </w:r>
            <w:r w:rsidR="00206032">
              <w:rPr>
                <w:rFonts w:ascii="Arial" w:eastAsia="Times New Roman" w:hAnsi="Arial" w:cs="Arial"/>
              </w:rPr>
              <w:t>8</w:t>
            </w:r>
            <w:r w:rsidR="003E5456">
              <w:rPr>
                <w:rFonts w:ascii="Arial" w:eastAsia="Times New Roman" w:hAnsi="Arial" w:cs="Arial"/>
              </w:rPr>
              <w:t>4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1266E" w14:textId="77777777" w:rsidR="00FE5039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B52E165" w14:textId="7F151DC3" w:rsidR="00206032" w:rsidRPr="00B979F0" w:rsidRDefault="006C687D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22042" w14:textId="77777777" w:rsidR="003E5456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  <w:p w14:paraId="259DA527" w14:textId="2628A17A" w:rsidR="00FE5039" w:rsidRPr="00B979F0" w:rsidRDefault="003E545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72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6D410" w14:textId="77777777" w:rsidR="006C687D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C687D">
              <w:rPr>
                <w:rFonts w:ascii="Arial" w:eastAsia="Times New Roman" w:hAnsi="Arial" w:cs="Arial"/>
              </w:rPr>
              <w:t xml:space="preserve"> </w:t>
            </w:r>
          </w:p>
          <w:p w14:paraId="4A9FBDDC" w14:textId="20F6E2E1" w:rsidR="008560A9" w:rsidRDefault="008560A9" w:rsidP="008560A9">
            <w:pPr>
              <w:pStyle w:val="NormalWeb"/>
            </w:pPr>
            <w:r>
              <w:rPr>
                <w:rFonts w:ascii="ArialMT" w:hAnsi="ArialMT"/>
              </w:rPr>
              <w:t xml:space="preserve">      (</w:t>
            </w:r>
            <w:r w:rsidR="00631E33">
              <w:rPr>
                <w:rFonts w:ascii="ArialMT" w:hAnsi="ArialMT"/>
              </w:rPr>
              <w:t>100</w:t>
            </w:r>
            <w:r>
              <w:rPr>
                <w:rFonts w:ascii="ArialMT" w:hAnsi="ArialMT"/>
              </w:rPr>
              <w:t>%+</w:t>
            </w:r>
            <w:r w:rsidR="00631E33">
              <w:rPr>
                <w:rFonts w:ascii="ArialMT" w:hAnsi="ArialMT"/>
              </w:rPr>
              <w:t>43</w:t>
            </w:r>
            <w:r>
              <w:rPr>
                <w:rFonts w:ascii="ArialMT" w:hAnsi="ArialMT"/>
              </w:rPr>
              <w:t xml:space="preserve">%)/2= </w:t>
            </w:r>
          </w:p>
          <w:p w14:paraId="2BD58B42" w14:textId="3ED5321B" w:rsidR="00FE5039" w:rsidRPr="00B979F0" w:rsidRDefault="008560A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</w:t>
            </w:r>
            <w:r w:rsidR="006C687D">
              <w:rPr>
                <w:rFonts w:ascii="Arial" w:eastAsia="Times New Roman" w:hAnsi="Arial" w:cs="Arial"/>
              </w:rPr>
              <w:t>7</w:t>
            </w:r>
            <w:r w:rsidR="003E5456">
              <w:rPr>
                <w:rFonts w:ascii="Arial" w:eastAsia="Times New Roman" w:hAnsi="Arial" w:cs="Arial"/>
              </w:rPr>
              <w:t>2</w:t>
            </w:r>
            <w:r w:rsidR="00206032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ED769" w14:textId="77777777" w:rsidR="00605585" w:rsidRDefault="00605585" w:rsidP="005C37CC">
      <w:pPr>
        <w:spacing w:after="0" w:line="240" w:lineRule="auto"/>
      </w:pPr>
      <w:r>
        <w:separator/>
      </w:r>
    </w:p>
  </w:endnote>
  <w:endnote w:type="continuationSeparator" w:id="0">
    <w:p w14:paraId="3590A857" w14:textId="77777777" w:rsidR="00605585" w:rsidRDefault="00605585" w:rsidP="005C37CC">
      <w:pPr>
        <w:spacing w:after="0" w:line="240" w:lineRule="auto"/>
      </w:pPr>
      <w:r>
        <w:continuationSeparator/>
      </w:r>
    </w:p>
  </w:endnote>
  <w:endnote w:type="continuationNotice" w:id="1">
    <w:p w14:paraId="7C54F748" w14:textId="77777777" w:rsidR="00605585" w:rsidRDefault="00605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7BCD063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9A6371">
          <w:rPr>
            <w:rFonts w:ascii="Arial" w:hAnsi="Arial" w:cs="Arial"/>
            <w:b/>
            <w:noProof/>
          </w:rPr>
          <w:t>6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2B17" w14:textId="77777777" w:rsidR="00605585" w:rsidRDefault="00605585" w:rsidP="005C37CC">
      <w:pPr>
        <w:spacing w:after="0" w:line="240" w:lineRule="auto"/>
      </w:pPr>
      <w:r>
        <w:separator/>
      </w:r>
    </w:p>
  </w:footnote>
  <w:footnote w:type="continuationSeparator" w:id="0">
    <w:p w14:paraId="5C3E96DE" w14:textId="77777777" w:rsidR="00605585" w:rsidRDefault="00605585" w:rsidP="005C37CC">
      <w:pPr>
        <w:spacing w:after="0" w:line="240" w:lineRule="auto"/>
      </w:pPr>
      <w:r>
        <w:continuationSeparator/>
      </w:r>
    </w:p>
  </w:footnote>
  <w:footnote w:type="continuationNotice" w:id="1">
    <w:p w14:paraId="63F062A2" w14:textId="77777777" w:rsidR="00605585" w:rsidRDefault="0060558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0D"/>
    <w:rsid w:val="00013ED4"/>
    <w:rsid w:val="00027ED0"/>
    <w:rsid w:val="0003090D"/>
    <w:rsid w:val="0003680F"/>
    <w:rsid w:val="0003695B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032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0843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E5456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05585"/>
    <w:rsid w:val="006149DA"/>
    <w:rsid w:val="00627E10"/>
    <w:rsid w:val="006311D5"/>
    <w:rsid w:val="00631E33"/>
    <w:rsid w:val="00650F4D"/>
    <w:rsid w:val="00660299"/>
    <w:rsid w:val="00661E9C"/>
    <w:rsid w:val="00663DAF"/>
    <w:rsid w:val="006737F1"/>
    <w:rsid w:val="00683F47"/>
    <w:rsid w:val="00697FD6"/>
    <w:rsid w:val="006A1042"/>
    <w:rsid w:val="006A694D"/>
    <w:rsid w:val="006A7197"/>
    <w:rsid w:val="006B1BCC"/>
    <w:rsid w:val="006B64CC"/>
    <w:rsid w:val="006C01E0"/>
    <w:rsid w:val="006C03AC"/>
    <w:rsid w:val="006C53BB"/>
    <w:rsid w:val="006C687D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560A9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3D2D"/>
    <w:rsid w:val="009A6371"/>
    <w:rsid w:val="009A7ABC"/>
    <w:rsid w:val="009B366E"/>
    <w:rsid w:val="009B3C90"/>
    <w:rsid w:val="009B4068"/>
    <w:rsid w:val="009B73CF"/>
    <w:rsid w:val="009D2568"/>
    <w:rsid w:val="009D48A4"/>
    <w:rsid w:val="00A14438"/>
    <w:rsid w:val="00A14D83"/>
    <w:rsid w:val="00A27B71"/>
    <w:rsid w:val="00A361D3"/>
    <w:rsid w:val="00A5144E"/>
    <w:rsid w:val="00A67106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5AF8F5-F510-4556-A6A6-0E47704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Bruce San Nicolas</cp:lastModifiedBy>
  <cp:revision>2</cp:revision>
  <cp:lastPrinted>2021-09-23T03:43:00Z</cp:lastPrinted>
  <dcterms:created xsi:type="dcterms:W3CDTF">2021-10-10T23:09:00Z</dcterms:created>
  <dcterms:modified xsi:type="dcterms:W3CDTF">2021-10-10T23:09:00Z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